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9738" w:type="dxa"/>
        <w:tblLook w:val="0000" w:firstRow="0" w:lastRow="0" w:firstColumn="0" w:lastColumn="0" w:noHBand="0" w:noVBand="0"/>
      </w:tblPr>
      <w:tblGrid>
        <w:gridCol w:w="4680"/>
        <w:gridCol w:w="17"/>
        <w:gridCol w:w="5041"/>
      </w:tblGrid>
      <w:tr w:rsidR="005F4092" w:rsidTr="005F4092">
        <w:trPr>
          <w:trHeight w:val="300"/>
        </w:trPr>
        <w:tc>
          <w:tcPr>
            <w:tcW w:w="4680" w:type="dxa"/>
          </w:tcPr>
          <w:p w:rsidR="005F4092" w:rsidRPr="00ED569B" w:rsidRDefault="005F4092" w:rsidP="005F4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569B">
              <w:rPr>
                <w:b/>
                <w:sz w:val="24"/>
                <w:szCs w:val="24"/>
              </w:rPr>
              <w:t>Benchmarks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5F4092" w:rsidRPr="00ED569B" w:rsidRDefault="005F4092" w:rsidP="005F4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Garden L</w:t>
            </w:r>
            <w:r w:rsidRPr="00ED569B">
              <w:rPr>
                <w:b/>
                <w:sz w:val="24"/>
                <w:szCs w:val="24"/>
              </w:rPr>
              <w:t>essons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D38AB">
              <w:rPr>
                <w:b/>
                <w:bCs/>
                <w:color w:val="000000"/>
                <w:sz w:val="24"/>
                <w:szCs w:val="24"/>
              </w:rPr>
              <w:t>Standard 1</w:t>
            </w:r>
            <w:r>
              <w:rPr>
                <w:b/>
                <w:bCs/>
                <w:color w:val="000000"/>
                <w:sz w:val="24"/>
                <w:szCs w:val="24"/>
              </w:rPr>
              <w:t>:  Number Sense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MA.1.1.1 – Counting to 100</w:t>
            </w: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Pr="00CD38AB" w:rsidRDefault="005F4092" w:rsidP="005F40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MA.1.1.2 – Identify simple fractions</w:t>
            </w: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Pr="00CD38AB" w:rsidRDefault="005F4092" w:rsidP="005F40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MA.1.1.3 – Represent whole numbers to 100 in many ways</w:t>
            </w: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Pr="00CD38AB" w:rsidRDefault="005F4092" w:rsidP="005F40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CD38AB" w:rsidRDefault="005F4092" w:rsidP="005F4092">
            <w:pPr>
              <w:rPr>
                <w:b/>
                <w:sz w:val="24"/>
                <w:szCs w:val="24"/>
              </w:rPr>
            </w:pPr>
            <w:r w:rsidRPr="00CD38AB">
              <w:rPr>
                <w:b/>
                <w:sz w:val="24"/>
                <w:szCs w:val="24"/>
              </w:rPr>
              <w:t xml:space="preserve">Standard 2:  </w:t>
            </w:r>
            <w:r>
              <w:rPr>
                <w:b/>
                <w:sz w:val="24"/>
                <w:szCs w:val="24"/>
              </w:rPr>
              <w:t>Operation Sense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MA.1.2.1 – Addition and subtraction can “undo” each other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3:  Computation Strategies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gridAfter w:val="1"/>
          <w:wAfter w:w="50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92" w:rsidRPr="00FC4DA8" w:rsidRDefault="005F4092" w:rsidP="005F4092">
            <w:pPr>
              <w:contextualSpacing/>
            </w:pP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MA.1.3.1 – Recall addition facts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MA.1.3.2 – Solve number problems with addition and subtraction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716A2A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ED569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4:  </w:t>
            </w:r>
            <w:r>
              <w:rPr>
                <w:b/>
                <w:color w:val="000000"/>
                <w:sz w:val="24"/>
                <w:szCs w:val="24"/>
              </w:rPr>
              <w:t>Fluency with Measurement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gridAfter w:val="1"/>
          <w:wAfter w:w="50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92" w:rsidRPr="00FC4DA8" w:rsidRDefault="005F4092" w:rsidP="005F4092">
            <w:pPr>
              <w:contextualSpacing/>
            </w:pP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MA.1.4.1 – Measure with “standard” and “non-standard” units of measurement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CD38A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648">
              <w:rPr>
                <w:color w:val="000000"/>
                <w:sz w:val="22"/>
                <w:szCs w:val="22"/>
              </w:rPr>
              <w:t>MA.1.4.2 – Identify the value of coins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8D1648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1648">
              <w:rPr>
                <w:color w:val="000000"/>
                <w:sz w:val="22"/>
                <w:szCs w:val="22"/>
              </w:rPr>
              <w:t>MA.1.4.3 – Tell time to the ½ and ¼ hour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8D1648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716A2A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ED569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 xml:space="preserve">Standard 5:  </w:t>
            </w:r>
            <w:r>
              <w:rPr>
                <w:b/>
                <w:color w:val="000000"/>
                <w:sz w:val="24"/>
                <w:szCs w:val="24"/>
              </w:rPr>
              <w:t>Properties and Relationships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gridAfter w:val="1"/>
          <w:wAfter w:w="5041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92" w:rsidRPr="00FC4DA8" w:rsidRDefault="005F4092" w:rsidP="005F4092">
            <w:pPr>
              <w:contextualSpacing/>
            </w:pP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MA.1.5.1 – Identify basic three-dimensional geometric solids</w:t>
            </w: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4092" w:rsidRPr="00ED569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646692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092" w:rsidRPr="00ED569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Standard 6:  Transformations and Symmetry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4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  <w:r w:rsidRPr="008D1648">
              <w:rPr>
                <w:sz w:val="22"/>
                <w:szCs w:val="22"/>
              </w:rPr>
              <w:t>MA.1.6.1 – Identify symmetrical shapes from the real world</w:t>
            </w: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Pr="008D1648" w:rsidRDefault="005F4092" w:rsidP="005F40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/>
          <w:p w:rsidR="005F4092" w:rsidRPr="00FC4DA8" w:rsidRDefault="005F4092" w:rsidP="005F4092"/>
        </w:tc>
      </w:tr>
      <w:tr w:rsidR="005F4092" w:rsidRPr="00646692" w:rsidTr="005F4092">
        <w:tblPrEx>
          <w:tblLook w:val="04A0" w:firstRow="1" w:lastRow="0" w:firstColumn="1" w:lastColumn="0" w:noHBand="0" w:noVBand="1"/>
        </w:tblPrEx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092" w:rsidRPr="00ED569B" w:rsidRDefault="005F4092" w:rsidP="005F40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Standard 7:  </w:t>
            </w:r>
            <w:r>
              <w:rPr>
                <w:b/>
                <w:bCs/>
                <w:color w:val="000000"/>
                <w:sz w:val="24"/>
                <w:szCs w:val="24"/>
              </w:rPr>
              <w:t>Visual and Spatial Sense</w:t>
            </w:r>
          </w:p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c>
          <w:tcPr>
            <w:tcW w:w="4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MA.1.7.1 – No Benchmark</w:t>
            </w: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Default="005F4092" w:rsidP="005F4092">
            <w:pPr>
              <w:contextualSpacing/>
              <w:rPr>
                <w:sz w:val="22"/>
                <w:szCs w:val="22"/>
              </w:rPr>
            </w:pPr>
          </w:p>
          <w:p w:rsidR="005F4092" w:rsidRPr="00ED569B" w:rsidRDefault="005F4092" w:rsidP="005F409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RPr="00FC4DA8" w:rsidTr="005F409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092" w:rsidRPr="009719DF" w:rsidRDefault="005F4092" w:rsidP="005F4092">
            <w:pPr>
              <w:contextualSpacing/>
              <w:rPr>
                <w:b/>
                <w:sz w:val="24"/>
                <w:szCs w:val="24"/>
              </w:rPr>
            </w:pPr>
            <w:r w:rsidRPr="009719DF">
              <w:rPr>
                <w:b/>
                <w:sz w:val="24"/>
                <w:szCs w:val="24"/>
              </w:rPr>
              <w:t>Standard 8:  Representational Systems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092" w:rsidRPr="00FC4DA8" w:rsidRDefault="005F4092" w:rsidP="005F4092"/>
        </w:tc>
      </w:tr>
      <w:tr w:rsidR="005F4092" w:rsidTr="005F4092">
        <w:trPr>
          <w:trHeight w:val="510"/>
        </w:trPr>
        <w:tc>
          <w:tcPr>
            <w:tcW w:w="4697" w:type="dxa"/>
            <w:gridSpan w:val="2"/>
            <w:tcBorders>
              <w:top w:val="single" w:sz="12" w:space="0" w:color="auto"/>
            </w:tcBorders>
          </w:tcPr>
          <w:p w:rsidR="005F4092" w:rsidRDefault="005F4092" w:rsidP="005F4092">
            <w:pPr>
              <w:rPr>
                <w:sz w:val="22"/>
                <w:szCs w:val="22"/>
              </w:rPr>
            </w:pPr>
            <w:r w:rsidRPr="009719DF">
              <w:rPr>
                <w:sz w:val="22"/>
                <w:szCs w:val="22"/>
              </w:rPr>
              <w:t>MA.1.8.1 – Student can give directions</w:t>
            </w:r>
          </w:p>
          <w:p w:rsidR="005F4092" w:rsidRDefault="005F4092" w:rsidP="005F4092">
            <w:pPr>
              <w:rPr>
                <w:sz w:val="22"/>
                <w:szCs w:val="22"/>
              </w:rPr>
            </w:pPr>
          </w:p>
          <w:p w:rsidR="005F4092" w:rsidRDefault="005F4092" w:rsidP="005F4092">
            <w:pPr>
              <w:rPr>
                <w:sz w:val="22"/>
                <w:szCs w:val="22"/>
              </w:rPr>
            </w:pPr>
          </w:p>
          <w:p w:rsidR="005F4092" w:rsidRPr="009719DF" w:rsidRDefault="005F4092" w:rsidP="005F4092">
            <w:pPr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12" w:space="0" w:color="auto"/>
            </w:tcBorders>
          </w:tcPr>
          <w:p w:rsidR="005F4092" w:rsidRDefault="005F4092" w:rsidP="005F4092"/>
          <w:p w:rsidR="005F4092" w:rsidRDefault="005F4092" w:rsidP="005F4092"/>
          <w:p w:rsidR="005F4092" w:rsidRPr="009719DF" w:rsidRDefault="005F4092" w:rsidP="005F4092"/>
        </w:tc>
      </w:tr>
    </w:tbl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30"/>
        <w:gridCol w:w="15"/>
        <w:gridCol w:w="4905"/>
      </w:tblGrid>
      <w:tr w:rsidR="00776583" w:rsidTr="007C4D09">
        <w:trPr>
          <w:trHeight w:val="233"/>
        </w:trPr>
        <w:tc>
          <w:tcPr>
            <w:tcW w:w="9720" w:type="dxa"/>
            <w:gridSpan w:val="4"/>
            <w:tcBorders>
              <w:bottom w:val="single" w:sz="12" w:space="0" w:color="auto"/>
            </w:tcBorders>
          </w:tcPr>
          <w:p w:rsidR="00776583" w:rsidRPr="007C4D09" w:rsidRDefault="00D42650" w:rsidP="00351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09">
              <w:rPr>
                <w:rFonts w:ascii="Times New Roman" w:hAnsi="Times New Roman" w:cs="Times New Roman"/>
                <w:b/>
                <w:sz w:val="24"/>
                <w:szCs w:val="24"/>
              </w:rPr>
              <w:t>Standard 9:  Patterns and Functional Relationsh</w:t>
            </w:r>
            <w:bookmarkStart w:id="0" w:name="_GoBack"/>
            <w:bookmarkEnd w:id="0"/>
            <w:r w:rsidRPr="007C4D0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</w:tr>
      <w:tr w:rsidR="00D42650" w:rsidTr="0072174D">
        <w:trPr>
          <w:trHeight w:val="728"/>
        </w:trPr>
        <w:tc>
          <w:tcPr>
            <w:tcW w:w="4770" w:type="dxa"/>
            <w:tcBorders>
              <w:top w:val="single" w:sz="12" w:space="0" w:color="auto"/>
            </w:tcBorders>
          </w:tcPr>
          <w:p w:rsidR="005F091C" w:rsidRDefault="008522B7" w:rsidP="00351C35">
            <w:pPr>
              <w:rPr>
                <w:rFonts w:ascii="Times New Roman" w:hAnsi="Times New Roman" w:cs="Times New Roman"/>
              </w:rPr>
            </w:pPr>
            <w:r w:rsidRPr="005F091C">
              <w:rPr>
                <w:rFonts w:ascii="Times New Roman" w:hAnsi="Times New Roman" w:cs="Times New Roman"/>
              </w:rPr>
              <w:t xml:space="preserve">MA.1.9.1 </w:t>
            </w:r>
            <w:r w:rsidR="005F091C" w:rsidRPr="005F091C">
              <w:rPr>
                <w:rFonts w:ascii="Times New Roman" w:hAnsi="Times New Roman" w:cs="Times New Roman"/>
              </w:rPr>
              <w:t>–</w:t>
            </w:r>
            <w:r w:rsidRPr="005F091C">
              <w:rPr>
                <w:rFonts w:ascii="Times New Roman" w:hAnsi="Times New Roman" w:cs="Times New Roman"/>
              </w:rPr>
              <w:t xml:space="preserve"> </w:t>
            </w:r>
            <w:r w:rsidR="005F091C" w:rsidRPr="005F091C">
              <w:rPr>
                <w:rFonts w:ascii="Times New Roman" w:hAnsi="Times New Roman" w:cs="Times New Roman"/>
              </w:rPr>
              <w:t>Create and describe repeating patterns</w:t>
            </w:r>
          </w:p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42650" w:rsidRDefault="00D42650" w:rsidP="00351C35"/>
        </w:tc>
      </w:tr>
      <w:tr w:rsidR="0072174D" w:rsidTr="007C4D09">
        <w:trPr>
          <w:trHeight w:val="305"/>
        </w:trPr>
        <w:tc>
          <w:tcPr>
            <w:tcW w:w="9720" w:type="dxa"/>
            <w:gridSpan w:val="4"/>
          </w:tcPr>
          <w:p w:rsidR="0072174D" w:rsidRPr="0072174D" w:rsidRDefault="0072174D" w:rsidP="000D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4D">
              <w:rPr>
                <w:rFonts w:ascii="Times New Roman" w:hAnsi="Times New Roman" w:cs="Times New Roman"/>
                <w:b/>
                <w:sz w:val="24"/>
                <w:szCs w:val="24"/>
              </w:rPr>
              <w:t>Standard 10:  Symbolic Representation</w:t>
            </w:r>
          </w:p>
        </w:tc>
      </w:tr>
      <w:tr w:rsidR="0072174D" w:rsidTr="0072174D">
        <w:trPr>
          <w:trHeight w:val="660"/>
        </w:trPr>
        <w:tc>
          <w:tcPr>
            <w:tcW w:w="4800" w:type="dxa"/>
            <w:gridSpan w:val="2"/>
            <w:tcBorders>
              <w:top w:val="single" w:sz="12" w:space="0" w:color="auto"/>
            </w:tcBorders>
          </w:tcPr>
          <w:p w:rsidR="0072174D" w:rsidRDefault="0072174D" w:rsidP="000D3048">
            <w:pPr>
              <w:rPr>
                <w:rFonts w:ascii="Times New Roman" w:hAnsi="Times New Roman" w:cs="Times New Roman"/>
              </w:rPr>
            </w:pPr>
            <w:r w:rsidRPr="0072174D">
              <w:rPr>
                <w:rFonts w:ascii="Times New Roman" w:hAnsi="Times New Roman" w:cs="Times New Roman"/>
              </w:rPr>
              <w:t xml:space="preserve">MA.1.10.1 – Use objects, pictures, words and numbers to solve problems using + and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7C4D09" w:rsidRPr="0072174D" w:rsidRDefault="007C4D09" w:rsidP="000D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</w:tr>
      <w:tr w:rsidR="0072174D" w:rsidTr="00C662C1">
        <w:trPr>
          <w:trHeight w:val="368"/>
        </w:trPr>
        <w:tc>
          <w:tcPr>
            <w:tcW w:w="9720" w:type="dxa"/>
            <w:gridSpan w:val="4"/>
            <w:tcBorders>
              <w:right w:val="outset" w:sz="6" w:space="0" w:color="auto"/>
            </w:tcBorders>
          </w:tcPr>
          <w:p w:rsidR="0072174D" w:rsidRPr="005F091C" w:rsidRDefault="0072174D" w:rsidP="000D3048">
            <w:pPr>
              <w:rPr>
                <w:rFonts w:ascii="Times New Roman" w:hAnsi="Times New Roman" w:cs="Times New Roman"/>
              </w:rPr>
            </w:pPr>
            <w:r w:rsidRPr="005F091C">
              <w:rPr>
                <w:rFonts w:ascii="Times New Roman" w:hAnsi="Times New Roman" w:cs="Times New Roman"/>
                <w:b/>
                <w:sz w:val="24"/>
                <w:szCs w:val="24"/>
              </w:rPr>
              <w:t>Standard 11:  Fluency with Data</w:t>
            </w:r>
          </w:p>
        </w:tc>
      </w:tr>
      <w:tr w:rsidR="0072174D" w:rsidTr="0072174D">
        <w:trPr>
          <w:trHeight w:val="585"/>
        </w:trPr>
        <w:tc>
          <w:tcPr>
            <w:tcW w:w="4800" w:type="dxa"/>
            <w:gridSpan w:val="2"/>
            <w:tcBorders>
              <w:top w:val="single" w:sz="12" w:space="0" w:color="auto"/>
            </w:tcBorders>
          </w:tcPr>
          <w:p w:rsidR="007C4D09" w:rsidRPr="0072174D" w:rsidRDefault="0072174D" w:rsidP="000D3048">
            <w:pPr>
              <w:rPr>
                <w:rFonts w:ascii="Times New Roman" w:hAnsi="Times New Roman" w:cs="Times New Roman"/>
              </w:rPr>
            </w:pPr>
            <w:r w:rsidRPr="0072174D">
              <w:rPr>
                <w:rFonts w:ascii="Times New Roman" w:hAnsi="Times New Roman" w:cs="Times New Roman"/>
              </w:rPr>
              <w:t>MA.1.11.1 – Collect and organize objects and pictures</w:t>
            </w:r>
          </w:p>
        </w:tc>
        <w:tc>
          <w:tcPr>
            <w:tcW w:w="4920" w:type="dxa"/>
            <w:gridSpan w:val="2"/>
            <w:tcBorders>
              <w:top w:val="single" w:sz="12" w:space="0" w:color="auto"/>
              <w:right w:val="outset" w:sz="6" w:space="0" w:color="auto"/>
            </w:tcBorders>
            <w:shd w:val="clear" w:color="auto" w:fill="auto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</w:tr>
      <w:tr w:rsidR="0072174D" w:rsidTr="007C4D09">
        <w:trPr>
          <w:trHeight w:val="357"/>
        </w:trPr>
        <w:tc>
          <w:tcPr>
            <w:tcW w:w="4800" w:type="dxa"/>
            <w:gridSpan w:val="2"/>
            <w:tcBorders>
              <w:top w:val="single" w:sz="12" w:space="0" w:color="auto"/>
            </w:tcBorders>
          </w:tcPr>
          <w:p w:rsidR="0072174D" w:rsidRPr="005F091C" w:rsidRDefault="0072174D" w:rsidP="000D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1C">
              <w:rPr>
                <w:rFonts w:ascii="Times New Roman" w:hAnsi="Times New Roman" w:cs="Times New Roman"/>
                <w:b/>
                <w:sz w:val="24"/>
                <w:szCs w:val="24"/>
              </w:rPr>
              <w:t>Standard 12:  Statistics</w:t>
            </w:r>
          </w:p>
        </w:tc>
        <w:tc>
          <w:tcPr>
            <w:tcW w:w="4920" w:type="dxa"/>
            <w:gridSpan w:val="2"/>
            <w:tcBorders>
              <w:top w:val="single" w:sz="12" w:space="0" w:color="auto"/>
              <w:right w:val="outset" w:sz="6" w:space="0" w:color="auto"/>
            </w:tcBorders>
            <w:shd w:val="clear" w:color="auto" w:fill="auto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</w:tr>
      <w:tr w:rsidR="0072174D" w:rsidTr="0072174D">
        <w:trPr>
          <w:trHeight w:val="510"/>
        </w:trPr>
        <w:tc>
          <w:tcPr>
            <w:tcW w:w="4800" w:type="dxa"/>
            <w:gridSpan w:val="2"/>
            <w:tcBorders>
              <w:top w:val="single" w:sz="12" w:space="0" w:color="auto"/>
            </w:tcBorders>
          </w:tcPr>
          <w:p w:rsidR="007C4D09" w:rsidRPr="005F091C" w:rsidRDefault="0072174D" w:rsidP="00351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MA.1.12.1 – Compare groups of objects using descriptive words</w:t>
            </w:r>
          </w:p>
        </w:tc>
        <w:tc>
          <w:tcPr>
            <w:tcW w:w="49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</w:tr>
      <w:tr w:rsidR="0072174D" w:rsidTr="007C4D09">
        <w:trPr>
          <w:trHeight w:val="323"/>
        </w:trPr>
        <w:tc>
          <w:tcPr>
            <w:tcW w:w="9720" w:type="dxa"/>
            <w:gridSpan w:val="4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1C">
              <w:rPr>
                <w:rFonts w:ascii="Times New Roman" w:hAnsi="Times New Roman" w:cs="Times New Roman"/>
                <w:b/>
                <w:sz w:val="24"/>
                <w:szCs w:val="24"/>
              </w:rPr>
              <w:t>Standard 13:  Data Analysis</w:t>
            </w:r>
          </w:p>
        </w:tc>
      </w:tr>
      <w:tr w:rsidR="0072174D" w:rsidTr="0072174D">
        <w:trPr>
          <w:trHeight w:val="708"/>
        </w:trPr>
        <w:tc>
          <w:tcPr>
            <w:tcW w:w="4800" w:type="dxa"/>
            <w:gridSpan w:val="2"/>
            <w:tcBorders>
              <w:top w:val="single" w:sz="12" w:space="0" w:color="auto"/>
            </w:tcBorders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MA.1.13.1 – No Benchmark</w:t>
            </w:r>
          </w:p>
        </w:tc>
        <w:tc>
          <w:tcPr>
            <w:tcW w:w="49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</w:p>
        </w:tc>
      </w:tr>
      <w:tr w:rsidR="0072174D" w:rsidTr="007C4D09">
        <w:trPr>
          <w:trHeight w:val="395"/>
        </w:trPr>
        <w:tc>
          <w:tcPr>
            <w:tcW w:w="9720" w:type="dxa"/>
            <w:gridSpan w:val="4"/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1C">
              <w:rPr>
                <w:rFonts w:ascii="Times New Roman" w:hAnsi="Times New Roman" w:cs="Times New Roman"/>
                <w:b/>
                <w:sz w:val="24"/>
                <w:szCs w:val="24"/>
              </w:rPr>
              <w:t>Standard 14:  Probability</w:t>
            </w:r>
          </w:p>
        </w:tc>
      </w:tr>
      <w:tr w:rsidR="0072174D" w:rsidTr="0072174D">
        <w:trPr>
          <w:trHeight w:val="708"/>
        </w:trPr>
        <w:tc>
          <w:tcPr>
            <w:tcW w:w="4815" w:type="dxa"/>
            <w:gridSpan w:val="3"/>
            <w:tcBorders>
              <w:top w:val="single" w:sz="12" w:space="0" w:color="auto"/>
            </w:tcBorders>
          </w:tcPr>
          <w:p w:rsidR="0072174D" w:rsidRPr="005F091C" w:rsidRDefault="0072174D" w:rsidP="00351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MA.1.14.1 – No Benchmark</w:t>
            </w:r>
          </w:p>
        </w:tc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</w:tcPr>
          <w:p w:rsidR="0072174D" w:rsidRDefault="0072174D"/>
        </w:tc>
      </w:tr>
    </w:tbl>
    <w:p w:rsidR="00776583" w:rsidRDefault="00776583"/>
    <w:sectPr w:rsidR="00776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2" w:rsidRDefault="008E34A2" w:rsidP="00F7380C">
      <w:pPr>
        <w:spacing w:after="0" w:line="240" w:lineRule="auto"/>
      </w:pPr>
      <w:r>
        <w:separator/>
      </w:r>
    </w:p>
  </w:endnote>
  <w:endnote w:type="continuationSeparator" w:id="0">
    <w:p w:rsidR="008E34A2" w:rsidRDefault="008E34A2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2" w:rsidRDefault="008E34A2" w:rsidP="00F7380C">
      <w:pPr>
        <w:spacing w:after="0" w:line="240" w:lineRule="auto"/>
      </w:pPr>
      <w:r>
        <w:separator/>
      </w:r>
    </w:p>
  </w:footnote>
  <w:footnote w:type="continuationSeparator" w:id="0">
    <w:p w:rsidR="008E34A2" w:rsidRDefault="008E34A2" w:rsidP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24" w:rsidRDefault="009D6B9E" w:rsidP="00A4627E">
    <w:pPr>
      <w:pStyle w:val="Header"/>
      <w:rPr>
        <w:b/>
      </w:rPr>
    </w:pPr>
    <w:r w:rsidRPr="007664C3">
      <w:rPr>
        <w:b/>
      </w:rPr>
      <w:t>Standards and Benchmarks</w:t>
    </w:r>
    <w:r w:rsidR="00CE4F24">
      <w:rPr>
        <w:b/>
      </w:rPr>
      <w:t xml:space="preserve"> </w:t>
    </w:r>
  </w:p>
  <w:p w:rsidR="00860D7E" w:rsidRPr="007664C3" w:rsidRDefault="007664C3" w:rsidP="00A4627E">
    <w:pPr>
      <w:pStyle w:val="Header"/>
      <w:rPr>
        <w:b/>
      </w:rPr>
    </w:pPr>
    <w:r>
      <w:rPr>
        <w:b/>
      </w:rPr>
      <w:t>Math</w:t>
    </w:r>
    <w:r w:rsidR="00CE4F24">
      <w:rPr>
        <w:b/>
      </w:rPr>
      <w:t xml:space="preserve">, </w:t>
    </w:r>
    <w:r w:rsidR="00860D7E" w:rsidRPr="007664C3">
      <w:rPr>
        <w:b/>
      </w:rPr>
      <w:t>Grade</w:t>
    </w:r>
    <w:r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0828E6"/>
    <w:rsid w:val="001907BF"/>
    <w:rsid w:val="001D4027"/>
    <w:rsid w:val="00204FAB"/>
    <w:rsid w:val="002249C6"/>
    <w:rsid w:val="00265A7D"/>
    <w:rsid w:val="00330265"/>
    <w:rsid w:val="00333292"/>
    <w:rsid w:val="00351C35"/>
    <w:rsid w:val="00393F95"/>
    <w:rsid w:val="003953CD"/>
    <w:rsid w:val="003A5000"/>
    <w:rsid w:val="003B6B1E"/>
    <w:rsid w:val="00407A9F"/>
    <w:rsid w:val="0053688F"/>
    <w:rsid w:val="00564663"/>
    <w:rsid w:val="00580680"/>
    <w:rsid w:val="00581E0E"/>
    <w:rsid w:val="005B7AEC"/>
    <w:rsid w:val="005F091C"/>
    <w:rsid w:val="005F3D75"/>
    <w:rsid w:val="005F4092"/>
    <w:rsid w:val="0061123B"/>
    <w:rsid w:val="006234D3"/>
    <w:rsid w:val="00623885"/>
    <w:rsid w:val="0063391C"/>
    <w:rsid w:val="00646692"/>
    <w:rsid w:val="00657D51"/>
    <w:rsid w:val="00687301"/>
    <w:rsid w:val="0071548A"/>
    <w:rsid w:val="00716A2A"/>
    <w:rsid w:val="0072174D"/>
    <w:rsid w:val="00726320"/>
    <w:rsid w:val="00747DA1"/>
    <w:rsid w:val="007664C3"/>
    <w:rsid w:val="00776583"/>
    <w:rsid w:val="007B6C3B"/>
    <w:rsid w:val="007C4D09"/>
    <w:rsid w:val="00800069"/>
    <w:rsid w:val="008522B7"/>
    <w:rsid w:val="00860D7E"/>
    <w:rsid w:val="00873620"/>
    <w:rsid w:val="008D1648"/>
    <w:rsid w:val="008E34A2"/>
    <w:rsid w:val="00906370"/>
    <w:rsid w:val="0097186B"/>
    <w:rsid w:val="009719DF"/>
    <w:rsid w:val="009A2AD9"/>
    <w:rsid w:val="009D6B9E"/>
    <w:rsid w:val="00A4627E"/>
    <w:rsid w:val="00B65102"/>
    <w:rsid w:val="00C273EA"/>
    <w:rsid w:val="00C61FBB"/>
    <w:rsid w:val="00C662C1"/>
    <w:rsid w:val="00C830A3"/>
    <w:rsid w:val="00CD38AB"/>
    <w:rsid w:val="00CD6714"/>
    <w:rsid w:val="00CE4F24"/>
    <w:rsid w:val="00D420B9"/>
    <w:rsid w:val="00D42650"/>
    <w:rsid w:val="00D546D9"/>
    <w:rsid w:val="00DA4EA5"/>
    <w:rsid w:val="00DE7789"/>
    <w:rsid w:val="00E27C54"/>
    <w:rsid w:val="00E441BE"/>
    <w:rsid w:val="00E9430C"/>
    <w:rsid w:val="00EA4DEF"/>
    <w:rsid w:val="00ED569B"/>
    <w:rsid w:val="00EF265D"/>
    <w:rsid w:val="00F7380C"/>
    <w:rsid w:val="00F83651"/>
    <w:rsid w:val="00F929E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14</cp:revision>
  <cp:lastPrinted>2013-01-14T23:36:00Z</cp:lastPrinted>
  <dcterms:created xsi:type="dcterms:W3CDTF">2013-01-09T01:40:00Z</dcterms:created>
  <dcterms:modified xsi:type="dcterms:W3CDTF">2013-01-14T23:36:00Z</dcterms:modified>
</cp:coreProperties>
</file>